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5.1 商业营运持续练习：讨论问题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zijkpq2ne4ax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说明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请用下面的问题来带您讨论每个情境。先看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模组(样本) 1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，回答红色写的「模组 1」问题。做完以后，再继续到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模组单元(样本) 2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，回答红色「模组 2」的问题。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pxmej49wdurr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模组单元1 讨论问题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紧急行动计划：沟通及通讯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谁负责通知与本次紧急事件相关之个人或单位？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哪些人需要被通知？相关联络资料存放在哪里？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此次营运中断会采用什么警报与通知系统来进行沟通？该系统设置在哪里？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.9570312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在通知内容里应该包括哪些资料？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紧急行动应变计划：疏散及撤离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若进行撤离，预先指定的集合地点在哪里？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在建筑物内，为行动不便员工或客户所安排的撤离协助地点在哪里？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谁被指定负责协助行动不便的员工或客户？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是否已准备好紧急逃生路线的示意图？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紧急行动应变计划：就地避难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需就地避难，指定的避难区在哪里？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安全物资的指定存放地点在哪里？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谁被指定负责停用通风及空气进气系统？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紧急行动应变计划：财产与设备的安全措施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在安全可行的前提下，需要确保哪些财产或设备？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财产或设备放置的位置在哪里？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大约需要多少时间才能完成财产或设备的安全保护？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紧急行动应变计划：紧急应变指引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在这种情况下，能否按照《紧急应变手册》的指引来执行？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商业继续营运计划 </w:t>
            </w: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：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重要基本业务运作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5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在此情况下，哪些重要基本业务运作正受到营运中断影响？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.935546874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哪些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重要基本业务运作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是被认定最关键或优先度很高的？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商业继续营运计划：持续营运策略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持续营运策略：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在这种情况下，您和员工会做什么，来让受营运中断影响的最关键和最重要的</w:t>
            </w:r>
            <w:r w:rsidDel="00000000" w:rsidR="00000000" w:rsidRPr="00000000">
              <w:rPr>
                <w:rFonts w:ascii="Gungsuh" w:cs="Gungsuh" w:eastAsia="Gungsuh" w:hAnsi="Gungsuh"/>
                <w:b w:val="1"/>
                <w:rtl w:val="0"/>
              </w:rPr>
              <w:t xml:space="preserve">基本业务运作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能继续？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after="240" w:before="200" w:line="28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相互依赖关系：是否有其他组织或机构为这些运作提供资源或投入？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.957031249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成果：谁会使用这些功能及运作的成果？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通知责任义务：是否有义务向相关人员或机构通知这项重要基本业务运作的中断？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商业继续营运计划 </w:t>
            </w: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：通讯及沟通系统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您是否需要在危机情况下发送信息？如果需要，应通知谁？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内部沟通主要使用哪个系统？有没有备支援系统？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对外与顾客、合作厂商、供应链及监管单位联系时，您主要使用哪些通讯系统？是否设有备支援？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spacing w:after="200" w:line="240" w:lineRule="auto"/>
        <w:rPr/>
      </w:pPr>
      <w:bookmarkStart w:colFirst="0" w:colLast="0" w:name="_ikh77deb4sc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spacing w:after="200" w:line="240" w:lineRule="auto"/>
        <w:rPr/>
      </w:pPr>
      <w:bookmarkStart w:colFirst="0" w:colLast="0" w:name="_o6xsf78pfrq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spacing w:after="200" w:line="240" w:lineRule="auto"/>
        <w:rPr/>
      </w:pPr>
      <w:bookmarkStart w:colFirst="0" w:colLast="0" w:name="_z7gty6ng3mpb" w:id="5"/>
      <w:bookmarkEnd w:id="5"/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模组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单元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2 讨论问题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.0000000000005"/>
        <w:gridCol w:w="5860"/>
        <w:tblGridChange w:id="0">
          <w:tblGrid>
            <w:gridCol w:w="3500.0000000000005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商业继续营运计划：复原策略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请说明需要哪些复原步骤，才能恢复基本业务运作并恢复正常营运。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此次营运中断对财务带来了哪些影响及冲击？应如何处理？请包括可用的复原资源、保险理赔与财务援助方案。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ungsuh"/>
  <w:font w:name="SimSu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z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