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ind w:left="-630" w:firstLine="0"/>
        <w:rPr>
          <w:sz w:val="36"/>
          <w:szCs w:val="36"/>
        </w:rPr>
      </w:pPr>
      <w:bookmarkStart w:colFirst="0" w:colLast="0" w:name="_yrpxkes7wezr" w:id="0"/>
      <w:bookmarkEnd w:id="0"/>
      <w:r w:rsidDel="00000000" w:rsidR="00000000" w:rsidRPr="00000000">
        <w:rPr>
          <w:sz w:val="36"/>
          <w:szCs w:val="36"/>
          <w:rtl w:val="0"/>
        </w:rPr>
        <w:t xml:space="preserve">4.1 FONCTIONS ESSENTIELLES DE L’ENTREPRISE</w:t>
      </w:r>
    </w:p>
    <w:p w:rsidR="00000000" w:rsidDel="00000000" w:rsidP="00000000" w:rsidRDefault="00000000" w:rsidRPr="00000000" w14:paraId="00000002">
      <w:pPr>
        <w:spacing w:after="200" w:before="200" w:line="240" w:lineRule="auto"/>
        <w:ind w:left="-630" w:right="-630" w:firstLine="0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Dressez la liste des fonctions essentielles que votre entreprise doit maintenir ou rétablir rapidement après une perturbation pour éviter les pertes financières ou la faillite de l’entreprise. </w:t>
      </w:r>
    </w:p>
    <w:tbl>
      <w:tblPr>
        <w:tblStyle w:val="Table1"/>
        <w:tblW w:w="10605.0" w:type="dxa"/>
        <w:jc w:val="left"/>
        <w:tblInd w:w="-6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85"/>
        <w:gridCol w:w="3165"/>
        <w:gridCol w:w="3255"/>
        <w:tblGridChange w:id="0">
          <w:tblGrid>
            <w:gridCol w:w="4185"/>
            <w:gridCol w:w="3165"/>
            <w:gridCol w:w="3255"/>
          </w:tblGrid>
        </w:tblGridChange>
      </w:tblGrid>
      <w:tr>
        <w:trPr>
          <w:cantSplit w:val="0"/>
          <w:trHeight w:val="1771" w:hRule="atLeast"/>
          <w:tblHeader w:val="0"/>
        </w:trPr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ind w:left="60" w:firstLine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Fonction essentielle de l’entreprise : 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quels produits et services constituent la source principale du chiffre d’affaires ou apportent un service aux clients ? Quels processus essentiels vous permettent de fournir vos produits ou services 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ind w:left="90" w:firstLine="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Priorité de rétablissement : 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quel est le niveau de priorité de cette fonction, notamment lors des périodes les plus critiques (haute saison, clôture, etc.) ? </w:t>
            </w:r>
          </w:p>
        </w:tc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ind w:left="90" w:firstLine="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Objectif de délai de rétablissement :</w:t>
            </w: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 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quelle est la durée maximale d’interruption de cette fonction avant qu’elle n’entraîne des répercussions financières ou opérationnelles ?</w:t>
            </w:r>
          </w:p>
        </w:tc>
      </w:tr>
      <w:tr>
        <w:trPr>
          <w:cantSplit w:val="0"/>
          <w:tblHeader w:val="0"/>
        </w:trPr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07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Critique 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Majeure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Modérée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Mineure</w:t>
            </w:r>
          </w:p>
        </w:tc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0B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 1 h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à 8 h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à 24 h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à 72 h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&gt; 72 h</w:t>
            </w:r>
          </w:p>
        </w:tc>
      </w:tr>
      <w:tr>
        <w:trPr>
          <w:cantSplit w:val="0"/>
          <w:tblHeader w:val="0"/>
        </w:trPr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11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Critique 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Majeure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Modérée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Mineure</w:t>
            </w:r>
          </w:p>
        </w:tc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15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 1 h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à 8 h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à 24 h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à 72 h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&gt; 72 h</w:t>
            </w:r>
          </w:p>
        </w:tc>
      </w:tr>
      <w:tr>
        <w:trPr>
          <w:cantSplit w:val="0"/>
          <w:tblHeader w:val="0"/>
        </w:trPr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1B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Critique 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Majeure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Modérée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Mineure</w:t>
            </w:r>
          </w:p>
        </w:tc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1F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 1 h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à 8 h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à 24 h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à 72 h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&gt; 72 h</w:t>
            </w:r>
          </w:p>
        </w:tc>
      </w:tr>
      <w:tr>
        <w:trPr>
          <w:cantSplit w:val="0"/>
          <w:tblHeader w:val="0"/>
        </w:trPr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25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Critique 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Majeure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Modérée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Mineure</w:t>
            </w:r>
          </w:p>
        </w:tc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29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 1 h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à 8 h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à 24 h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à 72 h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&gt; 72 h</w:t>
            </w:r>
          </w:p>
        </w:tc>
      </w:tr>
      <w:tr>
        <w:trPr>
          <w:cantSplit w:val="0"/>
          <w:tblHeader w:val="0"/>
        </w:trPr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2F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Critique 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Majeure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Modérée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Mineure</w:t>
            </w:r>
          </w:p>
        </w:tc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33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 1 h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à 8 h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à 24 h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à 72 h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&gt; 72 h</w:t>
            </w:r>
          </w:p>
        </w:tc>
      </w:tr>
      <w:tr>
        <w:trPr>
          <w:cantSplit w:val="0"/>
          <w:tblHeader w:val="0"/>
        </w:trPr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39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Critique 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Majeure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Modérée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Mineure</w:t>
            </w:r>
          </w:p>
        </w:tc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3D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 1 h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à 8 h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à 24 h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à 72 h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&gt; 72 h</w:t>
            </w:r>
          </w:p>
        </w:tc>
      </w:tr>
    </w:tbl>
    <w:p w:rsidR="00000000" w:rsidDel="00000000" w:rsidP="00000000" w:rsidRDefault="00000000" w:rsidRPr="00000000" w14:paraId="00000042">
      <w:pPr>
        <w:spacing w:line="240" w:lineRule="auto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05.0" w:type="dxa"/>
        <w:jc w:val="left"/>
        <w:tblInd w:w="-6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3510"/>
        <w:gridCol w:w="3255"/>
        <w:tblGridChange w:id="0">
          <w:tblGrid>
            <w:gridCol w:w="3840"/>
            <w:gridCol w:w="3510"/>
            <w:gridCol w:w="3255"/>
          </w:tblGrid>
        </w:tblGridChange>
      </w:tblGrid>
      <w:tr>
        <w:trPr>
          <w:cantSplit w:val="0"/>
          <w:trHeight w:val="246" w:hRule="atLeast"/>
          <w:tblHeader w:val="0"/>
        </w:trPr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Fonction essentielle de l’entreprise</w:t>
            </w:r>
          </w:p>
        </w:tc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Priorité de rétablissement</w:t>
            </w:r>
          </w:p>
        </w:tc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Objectif de délai de rétablissement</w:t>
            </w:r>
          </w:p>
        </w:tc>
      </w:tr>
      <w:tr>
        <w:trPr>
          <w:cantSplit w:val="0"/>
          <w:tblHeader w:val="0"/>
        </w:trPr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47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Critique 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Majeure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Modérée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Mineure</w:t>
            </w:r>
          </w:p>
        </w:tc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4B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 1 h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à 8 h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à 24 h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à 72 h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&gt; 72 h</w:t>
            </w:r>
          </w:p>
        </w:tc>
      </w:tr>
      <w:tr>
        <w:trPr>
          <w:cantSplit w:val="0"/>
          <w:tblHeader w:val="0"/>
        </w:trPr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51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Critique 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Majeure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Modérée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Mineure</w:t>
            </w:r>
          </w:p>
        </w:tc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55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 1 h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à 8 h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à 24 h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à 72 h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&gt; 72 h</w:t>
            </w:r>
          </w:p>
        </w:tc>
      </w:tr>
      <w:tr>
        <w:trPr>
          <w:cantSplit w:val="0"/>
          <w:tblHeader w:val="0"/>
        </w:trPr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5B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Critique 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Majeure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Modérée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Mineure</w:t>
            </w:r>
          </w:p>
        </w:tc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5F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 1 h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à 8 h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à 24 h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à 72 h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&gt; 72 h</w:t>
            </w:r>
          </w:p>
        </w:tc>
      </w:tr>
      <w:tr>
        <w:trPr>
          <w:cantSplit w:val="0"/>
          <w:tblHeader w:val="0"/>
        </w:trPr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65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Critique 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Majeure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Modérée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Mineure</w:t>
            </w:r>
          </w:p>
        </w:tc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69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 1 h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à 8 h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à 24 h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à 72 h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&gt; 72 h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6F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Critique 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Majeure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Modérée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Mineure</w:t>
            </w:r>
          </w:p>
        </w:tc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73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 1 h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à 8 h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à 24 h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à 72 h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&gt; 72 h</w:t>
            </w:r>
          </w:p>
        </w:tc>
      </w:tr>
      <w:tr>
        <w:trPr>
          <w:cantSplit w:val="0"/>
          <w:trHeight w:val="1056" w:hRule="atLeast"/>
          <w:tblHeader w:val="0"/>
        </w:trPr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79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Critique 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Majeure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Modérée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Mineure</w:t>
            </w:r>
          </w:p>
        </w:tc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7D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 1 h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à 8 h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à 24 h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à 72 h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&gt; 72 h</w:t>
            </w:r>
          </w:p>
        </w:tc>
      </w:tr>
      <w:tr>
        <w:trPr>
          <w:cantSplit w:val="0"/>
          <w:trHeight w:val="744" w:hRule="atLeast"/>
          <w:tblHeader w:val="0"/>
        </w:trPr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83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Critique 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Majeure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Modérée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Mineure</w:t>
            </w:r>
          </w:p>
        </w:tc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87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 1 h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à 8 h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à 24 h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à 72 h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&gt; 72 h</w:t>
            </w:r>
          </w:p>
        </w:tc>
      </w:tr>
    </w:tbl>
    <w:p w:rsidR="00000000" w:rsidDel="00000000" w:rsidP="00000000" w:rsidRDefault="00000000" w:rsidRPr="00000000" w14:paraId="0000008C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45.0" w:type="dxa"/>
        <w:jc w:val="left"/>
        <w:tblInd w:w="-615.0" w:type="dxa"/>
        <w:tblBorders>
          <w:top w:color="9e9e9e" w:space="0" w:sz="8" w:val="single"/>
          <w:left w:color="9e9e9e" w:space="0" w:sz="8" w:val="single"/>
          <w:bottom w:color="9e9e9e" w:space="0" w:sz="8" w:val="single"/>
          <w:right w:color="9e9e9e" w:space="0" w:sz="8" w:val="single"/>
          <w:insideH w:color="9e9e9e" w:space="0" w:sz="8" w:val="single"/>
          <w:insideV w:color="9e9e9e" w:space="0" w:sz="8" w:val="single"/>
        </w:tblBorders>
        <w:tblLayout w:type="fixed"/>
        <w:tblLook w:val="0600"/>
      </w:tblPr>
      <w:tblGrid>
        <w:gridCol w:w="5175"/>
        <w:gridCol w:w="5370"/>
        <w:tblGridChange w:id="0">
          <w:tblGrid>
            <w:gridCol w:w="5175"/>
            <w:gridCol w:w="5370"/>
          </w:tblGrid>
        </w:tblGridChange>
      </w:tblGrid>
      <w:tr>
        <w:trPr>
          <w:cantSplit w:val="0"/>
          <w:trHeight w:val="1455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shd w:fill="efefef" w:val="clear"/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6"/>
                <w:szCs w:val="26"/>
                <w:rtl w:val="0"/>
              </w:rPr>
              <w:t xml:space="preserve">Exemple de fonctions </w:t>
              <w:br w:type="textWrapping"/>
              <w:t xml:space="preserve">essentielles de l’entreprise</w:t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Infrastructures</w:t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Opération et maintenance de la climatisation/ventilation (HVAC), de l’éclairage et des services (eau, électricité)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Sûreté et sécurité</w:t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Opérations</w:t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Préparation de commande</w:t>
            </w:r>
          </w:p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Production</w:t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Fourniture de service</w:t>
            </w:r>
          </w:p>
        </w:tc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Juridique/conformité</w:t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Gestion des contrats</w:t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Conformité réglementaire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Rapports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Ressources humaines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Planning du personnel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Mise à jour des dossiers du personnel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Gestion des systèmes d’information RH</w:t>
            </w:r>
          </w:p>
        </w:tc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Finances</w:t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Rapports financiers et budgétaires</w:t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Gestion de la paie</w:t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Suivi des comptes clients/fournisseurs</w:t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Marketing/commercial</w:t>
            </w:r>
          </w:p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Transactions en point de vente </w:t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Relations publiques 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Suivi des systèmes de communication</w:t>
            </w:r>
          </w:p>
          <w:p w:rsidR="00000000" w:rsidDel="00000000" w:rsidP="00000000" w:rsidRDefault="00000000" w:rsidRPr="00000000" w14:paraId="000000A5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Gestion des sites et réseaux sociaux</w:t>
            </w:r>
          </w:p>
        </w:tc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Direction stratégique/exécutive</w:t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Décisions opérationnelles et financières</w:t>
            </w:r>
          </w:p>
          <w:p w:rsidR="00000000" w:rsidDel="00000000" w:rsidP="00000000" w:rsidRDefault="00000000" w:rsidRPr="00000000" w14:paraId="000000A8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Gestion du risque</w:t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Relations avec les parties prenantes</w:t>
            </w:r>
          </w:p>
        </w:tc>
      </w:tr>
      <w:tr>
        <w:trPr>
          <w:cantSplit w:val="0"/>
          <w:trHeight w:val="1476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Chaîne d’approvisionnement/logistique</w:t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Approvisionnement du stock</w:t>
            </w:r>
          </w:p>
          <w:p w:rsidR="00000000" w:rsidDel="00000000" w:rsidP="00000000" w:rsidRDefault="00000000" w:rsidRPr="00000000" w14:paraId="000000A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Distribution</w:t>
            </w:r>
          </w:p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Gestion des fournisseurs/prestataires</w:t>
            </w:r>
          </w:p>
        </w:tc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Informatique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Gestion de données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Accès internet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Cyberdéfense </w:t>
            </w:r>
          </w:p>
        </w:tc>
      </w:tr>
    </w:tbl>
    <w:p w:rsidR="00000000" w:rsidDel="00000000" w:rsidP="00000000" w:rsidRDefault="00000000" w:rsidRPr="00000000" w14:paraId="000000B2">
      <w:pPr>
        <w:ind w:left="-630" w:firstLine="0"/>
        <w:rPr>
          <w:rFonts w:ascii="Lora" w:cs="Lora" w:eastAsia="Lora" w:hAnsi="Lor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45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05"/>
        <w:gridCol w:w="5340"/>
        <w:tblGridChange w:id="0">
          <w:tblGrid>
            <w:gridCol w:w="5205"/>
            <w:gridCol w:w="5340"/>
          </w:tblGrid>
        </w:tblGridChange>
      </w:tblGrid>
      <w:tr>
        <w:trPr>
          <w:cantSplit w:val="0"/>
          <w:trHeight w:val="517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6"/>
                <w:szCs w:val="26"/>
                <w:rtl w:val="0"/>
              </w:rPr>
              <w:t xml:space="preserve">Exemple de fonctions essentielles pour une boulangerie-pâtisserie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Installations et opérations</w:t>
            </w:r>
          </w:p>
          <w:p w:rsidR="00000000" w:rsidDel="00000000" w:rsidP="00000000" w:rsidRDefault="00000000" w:rsidRPr="00000000" w14:paraId="000000B6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Confection des produits</w:t>
            </w:r>
          </w:p>
          <w:p w:rsidR="00000000" w:rsidDel="00000000" w:rsidP="00000000" w:rsidRDefault="00000000" w:rsidRPr="00000000" w14:paraId="000000B7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Cuisson</w:t>
            </w:r>
          </w:p>
          <w:p w:rsidR="00000000" w:rsidDel="00000000" w:rsidP="00000000" w:rsidRDefault="00000000" w:rsidRPr="00000000" w14:paraId="000000B8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Livraison</w:t>
            </w:r>
          </w:p>
          <w:p w:rsidR="00000000" w:rsidDel="00000000" w:rsidP="00000000" w:rsidRDefault="00000000" w:rsidRPr="00000000" w14:paraId="000000B9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Réfrigération</w:t>
            </w:r>
          </w:p>
          <w:p w:rsidR="00000000" w:rsidDel="00000000" w:rsidP="00000000" w:rsidRDefault="00000000" w:rsidRPr="00000000" w14:paraId="000000BA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Stockage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Ventes et transactions clients </w:t>
            </w:r>
          </w:p>
          <w:p w:rsidR="00000000" w:rsidDel="00000000" w:rsidP="00000000" w:rsidRDefault="00000000" w:rsidRPr="00000000" w14:paraId="000000B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Achats en point de vente</w:t>
            </w:r>
          </w:p>
          <w:p w:rsidR="00000000" w:rsidDel="00000000" w:rsidP="00000000" w:rsidRDefault="00000000" w:rsidRPr="00000000" w14:paraId="000000B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Commandes en ligne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Chaîne d’approvisionnement et stock</w:t>
            </w:r>
          </w:p>
          <w:p w:rsidR="00000000" w:rsidDel="00000000" w:rsidP="00000000" w:rsidRDefault="00000000" w:rsidRPr="00000000" w14:paraId="000000BF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Commande de marchandise et de fournitures (ingrédients, récipients, etc.)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Personnel </w:t>
            </w:r>
          </w:p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Planning</w:t>
            </w:r>
          </w:p>
          <w:p w:rsidR="00000000" w:rsidDel="00000000" w:rsidP="00000000" w:rsidRDefault="00000000" w:rsidRPr="00000000" w14:paraId="000000C2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Paie</w:t>
            </w:r>
          </w:p>
        </w:tc>
      </w:tr>
    </w:tbl>
    <w:p w:rsidR="00000000" w:rsidDel="00000000" w:rsidP="00000000" w:rsidRDefault="00000000" w:rsidRPr="00000000" w14:paraId="000000C3">
      <w:pPr>
        <w:spacing w:after="200" w:before="200" w:lineRule="auto"/>
        <w:ind w:left="-630" w:firstLine="0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8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jc w:val="center"/>
      <w:rPr>
        <w:sz w:val="20"/>
        <w:szCs w:val="20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6">
    <w:pPr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spacing w:line="240" w:lineRule="auto"/>
      <w:ind w:left="-720" w:firstLine="0"/>
      <w:rPr/>
    </w:pPr>
    <w:r w:rsidDel="00000000" w:rsidR="00000000" w:rsidRPr="00000000">
      <w:rPr/>
      <w:drawing>
        <wp:inline distB="114300" distT="114300" distL="114300" distR="114300">
          <wp:extent cx="2159749" cy="54768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9749" cy="5476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Montserrat" w:cs="Montserrat" w:eastAsia="Montserrat" w:hAnsi="Montserrat"/>
      <w:b w:val="1"/>
      <w:color w:val="00447b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20" w:line="240" w:lineRule="auto"/>
    </w:pPr>
    <w:rPr>
      <w:rFonts w:ascii="Arial" w:cs="Arial" w:eastAsia="Arial" w:hAnsi="Arial"/>
      <w:b w:val="1"/>
      <w:smallCaps w:val="1"/>
      <w:color w:val="288be4"/>
      <w:sz w:val="21"/>
      <w:szCs w:val="2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Arial" w:cs="Arial" w:eastAsia="Arial" w:hAnsi="Arial"/>
      <w:b w:val="1"/>
      <w:color w:val="fb4d42"/>
      <w:sz w:val="21"/>
      <w:szCs w:val="21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</w:pPr>
    <w:rPr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